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6"/>
        </w:rPr>
      </w:pPr>
    </w:p>
    <w:p>
      <w:pPr>
        <w:spacing w:line="158" w:lineRule="auto" w:before="112"/>
        <w:ind w:left="151" w:right="2163" w:firstLine="0"/>
        <w:jc w:val="left"/>
        <w:rPr>
          <w:rFonts w:ascii="Arial Unicode MS" w:eastAsia="Arial Unicode MS" w:hint="eastAsia"/>
          <w:sz w:val="66"/>
        </w:rPr>
      </w:pPr>
      <w:r>
        <w:rPr/>
        <w:pict>
          <v:shape style="position:absolute;margin-left:74.058998pt;margin-top:87.08445pt;width:356.7pt;height:203.25pt;mso-position-horizontal-relative:page;mso-position-vertical-relative:paragraph;z-index:10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91"/>
                    <w:gridCol w:w="1088"/>
                    <w:gridCol w:w="650"/>
                    <w:gridCol w:w="1006"/>
                    <w:gridCol w:w="1025"/>
                    <w:gridCol w:w="647"/>
                    <w:gridCol w:w="1071"/>
                    <w:gridCol w:w="858"/>
                  </w:tblGrid>
                  <w:tr>
                    <w:trPr>
                      <w:trHeight w:val="802" w:hRule="atLeast"/>
                    </w:trPr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66"/>
                          </w:rPr>
                        </w:pPr>
                        <w:r>
                          <w:rPr>
                            <w:color w:val="FF0000"/>
                            <w:w w:val="86"/>
                            <w:sz w:val="66"/>
                          </w:rPr>
                          <w:t>安</w:t>
                        </w:r>
                      </w:p>
                    </w:tc>
                    <w:tc>
                      <w:tcPr>
                        <w:tcW w:w="1738" w:type="dxa"/>
                        <w:gridSpan w:val="2"/>
                      </w:tcPr>
                      <w:p>
                        <w:pPr>
                          <w:pStyle w:val="TableParagraph"/>
                          <w:ind w:left="552"/>
                          <w:rPr>
                            <w:sz w:val="66"/>
                          </w:rPr>
                        </w:pPr>
                        <w:r>
                          <w:rPr>
                            <w:color w:val="FF0000"/>
                            <w:w w:val="86"/>
                            <w:sz w:val="66"/>
                          </w:rPr>
                          <w:t>徽</w:t>
                        </w:r>
                      </w:p>
                    </w:tc>
                    <w:tc>
                      <w:tcPr>
                        <w:tcW w:w="1006" w:type="dxa"/>
                      </w:tcPr>
                      <w:p>
                        <w:pPr>
                          <w:pStyle w:val="TableParagraph"/>
                          <w:ind w:left="108"/>
                          <w:rPr>
                            <w:sz w:val="66"/>
                          </w:rPr>
                        </w:pPr>
                        <w:r>
                          <w:rPr>
                            <w:color w:val="FF0000"/>
                            <w:w w:val="86"/>
                            <w:sz w:val="66"/>
                          </w:rPr>
                          <w:t>省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ind w:right="61"/>
                          <w:jc w:val="right"/>
                          <w:rPr>
                            <w:sz w:val="66"/>
                          </w:rPr>
                        </w:pPr>
                        <w:r>
                          <w:rPr>
                            <w:color w:val="FF0000"/>
                            <w:w w:val="86"/>
                            <w:sz w:val="66"/>
                          </w:rPr>
                          <w:t>公</w:t>
                        </w:r>
                      </w:p>
                    </w:tc>
                    <w:tc>
                      <w:tcPr>
                        <w:tcW w:w="647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38"/>
                          </w:rPr>
                        </w:pPr>
                      </w:p>
                    </w:tc>
                    <w:tc>
                      <w:tcPr>
                        <w:tcW w:w="1071" w:type="dxa"/>
                      </w:tcPr>
                      <w:p>
                        <w:pPr>
                          <w:pStyle w:val="TableParagraph"/>
                          <w:ind w:left="15"/>
                          <w:rPr>
                            <w:sz w:val="66"/>
                          </w:rPr>
                        </w:pPr>
                        <w:r>
                          <w:rPr>
                            <w:color w:val="FF0000"/>
                            <w:w w:val="86"/>
                            <w:sz w:val="66"/>
                          </w:rPr>
                          <w:t>安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ind w:left="237"/>
                          <w:rPr>
                            <w:sz w:val="66"/>
                          </w:rPr>
                        </w:pPr>
                        <w:r>
                          <w:rPr>
                            <w:color w:val="FF0000"/>
                            <w:w w:val="86"/>
                            <w:sz w:val="66"/>
                          </w:rPr>
                          <w:t>厅</w:t>
                        </w:r>
                      </w:p>
                    </w:tc>
                  </w:tr>
                  <w:tr>
                    <w:trPr>
                      <w:trHeight w:val="819" w:hRule="atLeast"/>
                    </w:trPr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spacing w:line="800" w:lineRule="exact"/>
                          <w:ind w:left="50"/>
                          <w:rPr>
                            <w:sz w:val="66"/>
                          </w:rPr>
                        </w:pPr>
                        <w:r>
                          <w:rPr>
                            <w:color w:val="FF0000"/>
                            <w:w w:val="86"/>
                            <w:sz w:val="66"/>
                          </w:rPr>
                          <w:t>安</w:t>
                        </w:r>
                      </w:p>
                    </w:tc>
                    <w:tc>
                      <w:tcPr>
                        <w:tcW w:w="1738" w:type="dxa"/>
                        <w:gridSpan w:val="2"/>
                      </w:tcPr>
                      <w:p>
                        <w:pPr>
                          <w:pStyle w:val="TableParagraph"/>
                          <w:spacing w:line="800" w:lineRule="exact"/>
                          <w:ind w:left="552"/>
                          <w:rPr>
                            <w:sz w:val="66"/>
                          </w:rPr>
                        </w:pPr>
                        <w:r>
                          <w:rPr>
                            <w:color w:val="FF0000"/>
                            <w:w w:val="86"/>
                            <w:sz w:val="66"/>
                          </w:rPr>
                          <w:t>徽</w:t>
                        </w:r>
                      </w:p>
                    </w:tc>
                    <w:tc>
                      <w:tcPr>
                        <w:tcW w:w="1006" w:type="dxa"/>
                      </w:tcPr>
                      <w:p>
                        <w:pPr>
                          <w:pStyle w:val="TableParagraph"/>
                          <w:spacing w:line="800" w:lineRule="exact"/>
                          <w:ind w:left="108"/>
                          <w:rPr>
                            <w:sz w:val="66"/>
                          </w:rPr>
                        </w:pPr>
                        <w:r>
                          <w:rPr>
                            <w:color w:val="FF0000"/>
                            <w:w w:val="86"/>
                            <w:sz w:val="66"/>
                          </w:rPr>
                          <w:t>省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line="800" w:lineRule="exact"/>
                          <w:ind w:right="61"/>
                          <w:jc w:val="right"/>
                          <w:rPr>
                            <w:sz w:val="66"/>
                          </w:rPr>
                        </w:pPr>
                        <w:r>
                          <w:rPr>
                            <w:color w:val="FF0000"/>
                            <w:w w:val="86"/>
                            <w:sz w:val="66"/>
                          </w:rPr>
                          <w:t>财</w:t>
                        </w:r>
                      </w:p>
                    </w:tc>
                    <w:tc>
                      <w:tcPr>
                        <w:tcW w:w="647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38"/>
                          </w:rPr>
                        </w:pPr>
                      </w:p>
                    </w:tc>
                    <w:tc>
                      <w:tcPr>
                        <w:tcW w:w="1071" w:type="dxa"/>
                      </w:tcPr>
                      <w:p>
                        <w:pPr>
                          <w:pStyle w:val="TableParagraph"/>
                          <w:spacing w:line="800" w:lineRule="exact"/>
                          <w:ind w:left="15"/>
                          <w:rPr>
                            <w:sz w:val="66"/>
                          </w:rPr>
                        </w:pPr>
                        <w:r>
                          <w:rPr>
                            <w:color w:val="FF0000"/>
                            <w:w w:val="86"/>
                            <w:sz w:val="66"/>
                          </w:rPr>
                          <w:t>政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line="800" w:lineRule="exact"/>
                          <w:ind w:left="237"/>
                          <w:rPr>
                            <w:sz w:val="66"/>
                          </w:rPr>
                        </w:pPr>
                        <w:r>
                          <w:rPr>
                            <w:color w:val="FF0000"/>
                            <w:w w:val="86"/>
                            <w:sz w:val="66"/>
                          </w:rPr>
                          <w:t>厅</w:t>
                        </w:r>
                      </w:p>
                    </w:tc>
                  </w:tr>
                  <w:tr>
                    <w:trPr>
                      <w:trHeight w:val="820" w:hRule="atLeast"/>
                    </w:trPr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spacing w:line="801" w:lineRule="exact"/>
                          <w:ind w:left="50"/>
                          <w:rPr>
                            <w:sz w:val="66"/>
                          </w:rPr>
                        </w:pPr>
                        <w:r>
                          <w:rPr>
                            <w:color w:val="FF0000"/>
                            <w:w w:val="86"/>
                            <w:sz w:val="66"/>
                          </w:rPr>
                          <w:t>安</w:t>
                        </w:r>
                      </w:p>
                    </w:tc>
                    <w:tc>
                      <w:tcPr>
                        <w:tcW w:w="1088" w:type="dxa"/>
                      </w:tcPr>
                      <w:p>
                        <w:pPr>
                          <w:pStyle w:val="TableParagraph"/>
                          <w:spacing w:line="801" w:lineRule="exact"/>
                          <w:ind w:left="173"/>
                          <w:rPr>
                            <w:sz w:val="66"/>
                          </w:rPr>
                        </w:pPr>
                        <w:r>
                          <w:rPr>
                            <w:color w:val="FF0000"/>
                            <w:w w:val="86"/>
                            <w:sz w:val="66"/>
                          </w:rPr>
                          <w:t>徽</w:t>
                        </w:r>
                      </w:p>
                    </w:tc>
                    <w:tc>
                      <w:tcPr>
                        <w:tcW w:w="650" w:type="dxa"/>
                      </w:tcPr>
                      <w:p>
                        <w:pPr>
                          <w:pStyle w:val="TableParagraph"/>
                          <w:spacing w:line="801" w:lineRule="exact"/>
                          <w:ind w:left="-1"/>
                          <w:rPr>
                            <w:sz w:val="66"/>
                          </w:rPr>
                        </w:pPr>
                        <w:r>
                          <w:rPr>
                            <w:color w:val="FF0000"/>
                            <w:w w:val="86"/>
                            <w:sz w:val="66"/>
                          </w:rPr>
                          <w:t>省</w:t>
                        </w:r>
                      </w:p>
                    </w:tc>
                    <w:tc>
                      <w:tcPr>
                        <w:tcW w:w="1006" w:type="dxa"/>
                      </w:tcPr>
                      <w:p>
                        <w:pPr>
                          <w:pStyle w:val="TableParagraph"/>
                          <w:spacing w:line="801" w:lineRule="exact"/>
                          <w:ind w:right="172"/>
                          <w:jc w:val="right"/>
                          <w:rPr>
                            <w:sz w:val="66"/>
                          </w:rPr>
                        </w:pPr>
                        <w:r>
                          <w:rPr>
                            <w:color w:val="FF0000"/>
                            <w:w w:val="86"/>
                            <w:sz w:val="66"/>
                          </w:rPr>
                          <w:t>交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spacing w:line="801" w:lineRule="exact"/>
                          <w:ind w:left="172"/>
                          <w:rPr>
                            <w:sz w:val="66"/>
                          </w:rPr>
                        </w:pPr>
                        <w:r>
                          <w:rPr>
                            <w:color w:val="FF0000"/>
                            <w:w w:val="86"/>
                            <w:sz w:val="66"/>
                          </w:rPr>
                          <w:t>通</w:t>
                        </w:r>
                      </w:p>
                    </w:tc>
                    <w:tc>
                      <w:tcPr>
                        <w:tcW w:w="647" w:type="dxa"/>
                      </w:tcPr>
                      <w:p>
                        <w:pPr>
                          <w:pStyle w:val="TableParagraph"/>
                          <w:spacing w:line="801" w:lineRule="exact"/>
                          <w:ind w:left="62"/>
                          <w:rPr>
                            <w:sz w:val="66"/>
                          </w:rPr>
                        </w:pPr>
                        <w:r>
                          <w:rPr>
                            <w:color w:val="FF0000"/>
                            <w:w w:val="86"/>
                            <w:sz w:val="66"/>
                          </w:rPr>
                          <w:t>运</w:t>
                        </w:r>
                      </w:p>
                    </w:tc>
                    <w:tc>
                      <w:tcPr>
                        <w:tcW w:w="1071" w:type="dxa"/>
                      </w:tcPr>
                      <w:p>
                        <w:pPr>
                          <w:pStyle w:val="TableParagraph"/>
                          <w:spacing w:line="801" w:lineRule="exact"/>
                          <w:ind w:left="329"/>
                          <w:rPr>
                            <w:sz w:val="66"/>
                          </w:rPr>
                        </w:pPr>
                        <w:r>
                          <w:rPr>
                            <w:color w:val="FF0000"/>
                            <w:w w:val="86"/>
                            <w:sz w:val="66"/>
                          </w:rPr>
                          <w:t>输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spacing w:line="801" w:lineRule="exact"/>
                          <w:ind w:left="172"/>
                          <w:rPr>
                            <w:sz w:val="66"/>
                          </w:rPr>
                        </w:pPr>
                        <w:r>
                          <w:rPr>
                            <w:color w:val="FF0000"/>
                            <w:w w:val="86"/>
                            <w:sz w:val="66"/>
                          </w:rPr>
                          <w:t>厅</w:t>
                        </w:r>
                      </w:p>
                    </w:tc>
                  </w:tr>
                  <w:tr>
                    <w:trPr>
                      <w:trHeight w:val="819" w:hRule="atLeast"/>
                    </w:trPr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66"/>
                          </w:rPr>
                        </w:pPr>
                        <w:r>
                          <w:rPr>
                            <w:color w:val="FF0000"/>
                            <w:w w:val="86"/>
                            <w:sz w:val="66"/>
                          </w:rPr>
                          <w:t>安</w:t>
                        </w:r>
                      </w:p>
                    </w:tc>
                    <w:tc>
                      <w:tcPr>
                        <w:tcW w:w="1088" w:type="dxa"/>
                      </w:tcPr>
                      <w:p>
                        <w:pPr>
                          <w:pStyle w:val="TableParagraph"/>
                          <w:ind w:left="538" w:right="-29"/>
                          <w:rPr>
                            <w:sz w:val="66"/>
                          </w:rPr>
                        </w:pPr>
                        <w:r>
                          <w:rPr>
                            <w:color w:val="FF0000"/>
                            <w:w w:val="86"/>
                            <w:sz w:val="66"/>
                          </w:rPr>
                          <w:t>徽</w:t>
                        </w:r>
                      </w:p>
                    </w:tc>
                    <w:tc>
                      <w:tcPr>
                        <w:tcW w:w="650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38"/>
                          </w:rPr>
                        </w:pPr>
                      </w:p>
                    </w:tc>
                    <w:tc>
                      <w:tcPr>
                        <w:tcW w:w="1006" w:type="dxa"/>
                      </w:tcPr>
                      <w:p>
                        <w:pPr>
                          <w:pStyle w:val="TableParagraph"/>
                          <w:ind w:left="81"/>
                          <w:rPr>
                            <w:sz w:val="66"/>
                          </w:rPr>
                        </w:pPr>
                        <w:r>
                          <w:rPr>
                            <w:color w:val="FF0000"/>
                            <w:w w:val="86"/>
                            <w:sz w:val="66"/>
                          </w:rPr>
                          <w:t>省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ind w:right="100"/>
                          <w:jc w:val="right"/>
                          <w:rPr>
                            <w:sz w:val="66"/>
                          </w:rPr>
                        </w:pPr>
                        <w:r>
                          <w:rPr>
                            <w:color w:val="FF0000"/>
                            <w:w w:val="86"/>
                            <w:sz w:val="66"/>
                          </w:rPr>
                          <w:t>水</w:t>
                        </w:r>
                      </w:p>
                    </w:tc>
                    <w:tc>
                      <w:tcPr>
                        <w:tcW w:w="1718" w:type="dxa"/>
                        <w:gridSpan w:val="2"/>
                      </w:tcPr>
                      <w:p>
                        <w:pPr>
                          <w:pStyle w:val="TableParagraph"/>
                          <w:ind w:left="609"/>
                          <w:rPr>
                            <w:sz w:val="66"/>
                          </w:rPr>
                        </w:pPr>
                        <w:r>
                          <w:rPr>
                            <w:color w:val="FF0000"/>
                            <w:w w:val="86"/>
                            <w:sz w:val="66"/>
                          </w:rPr>
                          <w:t>利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ind w:left="170"/>
                          <w:rPr>
                            <w:sz w:val="66"/>
                          </w:rPr>
                        </w:pPr>
                        <w:r>
                          <w:rPr>
                            <w:color w:val="FF0000"/>
                            <w:w w:val="86"/>
                            <w:sz w:val="66"/>
                          </w:rPr>
                          <w:t>厅</w:t>
                        </w:r>
                      </w:p>
                    </w:tc>
                  </w:tr>
                  <w:tr>
                    <w:trPr>
                      <w:trHeight w:val="802" w:hRule="atLeast"/>
                    </w:trPr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ind w:left="50"/>
                          <w:rPr>
                            <w:sz w:val="66"/>
                          </w:rPr>
                        </w:pPr>
                        <w:r>
                          <w:rPr>
                            <w:color w:val="FF0000"/>
                            <w:w w:val="86"/>
                            <w:sz w:val="66"/>
                          </w:rPr>
                          <w:t>安</w:t>
                        </w:r>
                      </w:p>
                    </w:tc>
                    <w:tc>
                      <w:tcPr>
                        <w:tcW w:w="1088" w:type="dxa"/>
                      </w:tcPr>
                      <w:p>
                        <w:pPr>
                          <w:pStyle w:val="TableParagraph"/>
                          <w:ind w:left="173"/>
                          <w:rPr>
                            <w:sz w:val="66"/>
                          </w:rPr>
                        </w:pPr>
                        <w:r>
                          <w:rPr>
                            <w:color w:val="FF0000"/>
                            <w:w w:val="86"/>
                            <w:sz w:val="66"/>
                          </w:rPr>
                          <w:t>徽</w:t>
                        </w:r>
                      </w:p>
                    </w:tc>
                    <w:tc>
                      <w:tcPr>
                        <w:tcW w:w="650" w:type="dxa"/>
                      </w:tcPr>
                      <w:p>
                        <w:pPr>
                          <w:pStyle w:val="TableParagraph"/>
                          <w:ind w:left="-1"/>
                          <w:rPr>
                            <w:sz w:val="66"/>
                          </w:rPr>
                        </w:pPr>
                        <w:r>
                          <w:rPr>
                            <w:color w:val="FF0000"/>
                            <w:w w:val="86"/>
                            <w:sz w:val="66"/>
                          </w:rPr>
                          <w:t>省</w:t>
                        </w:r>
                      </w:p>
                    </w:tc>
                    <w:tc>
                      <w:tcPr>
                        <w:tcW w:w="1006" w:type="dxa"/>
                      </w:tcPr>
                      <w:p>
                        <w:pPr>
                          <w:pStyle w:val="TableParagraph"/>
                          <w:ind w:right="172"/>
                          <w:jc w:val="right"/>
                          <w:rPr>
                            <w:sz w:val="66"/>
                          </w:rPr>
                        </w:pPr>
                        <w:r>
                          <w:rPr>
                            <w:color w:val="FF0000"/>
                            <w:w w:val="86"/>
                            <w:sz w:val="66"/>
                          </w:rPr>
                          <w:t>通</w:t>
                        </w:r>
                      </w:p>
                    </w:tc>
                    <w:tc>
                      <w:tcPr>
                        <w:tcW w:w="1025" w:type="dxa"/>
                      </w:tcPr>
                      <w:p>
                        <w:pPr>
                          <w:pStyle w:val="TableParagraph"/>
                          <w:ind w:left="172"/>
                          <w:rPr>
                            <w:sz w:val="66"/>
                          </w:rPr>
                        </w:pPr>
                        <w:r>
                          <w:rPr>
                            <w:color w:val="FF0000"/>
                            <w:w w:val="86"/>
                            <w:sz w:val="66"/>
                          </w:rPr>
                          <w:t>信</w:t>
                        </w:r>
                      </w:p>
                    </w:tc>
                    <w:tc>
                      <w:tcPr>
                        <w:tcW w:w="1718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976" w:val="left" w:leader="none"/>
                          </w:tabs>
                          <w:ind w:left="61"/>
                          <w:rPr>
                            <w:sz w:val="66"/>
                          </w:rPr>
                        </w:pPr>
                        <w:r>
                          <w:rPr>
                            <w:color w:val="FF0000"/>
                            <w:w w:val="95"/>
                            <w:sz w:val="66"/>
                          </w:rPr>
                          <w:t>管</w:t>
                          <w:tab/>
                          <w:t>理</w:t>
                        </w:r>
                      </w:p>
                    </w:tc>
                    <w:tc>
                      <w:tcPr>
                        <w:tcW w:w="858" w:type="dxa"/>
                      </w:tcPr>
                      <w:p>
                        <w:pPr>
                          <w:pStyle w:val="TableParagraph"/>
                          <w:ind w:left="172"/>
                          <w:rPr>
                            <w:sz w:val="66"/>
                          </w:rPr>
                        </w:pPr>
                        <w:r>
                          <w:rPr>
                            <w:color w:val="FF0000"/>
                            <w:w w:val="86"/>
                            <w:sz w:val="66"/>
                          </w:rPr>
                          <w:t>局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 Unicode MS" w:eastAsia="Arial Unicode MS" w:hint="eastAsia"/>
          <w:color w:val="FF0000"/>
          <w:spacing w:val="70"/>
          <w:w w:val="85"/>
          <w:sz w:val="66"/>
        </w:rPr>
        <w:t>安徽省住房和城乡建设厅</w:t>
      </w:r>
      <w:r>
        <w:rPr>
          <w:rFonts w:ascii="Arial Unicode MS" w:eastAsia="Arial Unicode MS" w:hint="eastAsia"/>
          <w:color w:val="FF0000"/>
          <w:spacing w:val="64"/>
          <w:w w:val="85"/>
          <w:sz w:val="66"/>
        </w:rPr>
        <w:t>安徽省发展和改革委员会</w:t>
      </w:r>
    </w:p>
    <w:p>
      <w:pPr>
        <w:spacing w:before="57"/>
        <w:ind w:left="0" w:right="276" w:firstLine="0"/>
        <w:jc w:val="right"/>
        <w:rPr>
          <w:rFonts w:ascii="Arial Unicode MS" w:eastAsia="Arial Unicode MS" w:hint="eastAsia"/>
          <w:sz w:val="95"/>
        </w:rPr>
      </w:pPr>
      <w:r>
        <w:rPr>
          <w:rFonts w:ascii="Arial Unicode MS" w:eastAsia="Arial Unicode MS" w:hint="eastAsia"/>
          <w:color w:val="FF0000"/>
          <w:w w:val="90"/>
          <w:sz w:val="95"/>
        </w:rPr>
        <w:t>文件</w:t>
      </w:r>
    </w:p>
    <w:p>
      <w:pPr>
        <w:pStyle w:val="BodyText"/>
        <w:spacing w:before="5"/>
        <w:rPr>
          <w:rFonts w:ascii="Arial Unicode MS"/>
          <w:sz w:val="150"/>
        </w:rPr>
      </w:pPr>
    </w:p>
    <w:p>
      <w:pPr>
        <w:pStyle w:val="BodyText"/>
        <w:ind w:left="3150" w:right="3280"/>
        <w:jc w:val="center"/>
      </w:pPr>
      <w:r>
        <w:rPr/>
        <w:t>建市〔2018〕139 号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46" w:lineRule="exact"/>
        <w:ind w:left="-82" w:right="-22"/>
        <w:rPr>
          <w:sz w:val="4"/>
        </w:rPr>
      </w:pPr>
      <w:r>
        <w:rPr>
          <w:position w:val="0"/>
          <w:sz w:val="4"/>
        </w:rPr>
        <w:pict>
          <v:group style="width:467.7pt;height:2.25pt;mso-position-horizontal-relative:char;mso-position-vertical-relative:line" coordorigin="0,0" coordsize="9354,45">
            <v:line style="position:absolute" from="0,23" to="9354,23" stroked="true" strokeweight="2.25pt" strokecolor="#ff0000">
              <v:stroke dashstyle="solid"/>
            </v:line>
          </v:group>
        </w:pict>
      </w:r>
      <w:r>
        <w:rPr>
          <w:position w:val="0"/>
          <w:sz w:val="4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spacing w:line="735" w:lineRule="exact" w:before="0"/>
        <w:ind w:left="1113" w:right="0" w:firstLine="0"/>
        <w:jc w:val="left"/>
        <w:rPr>
          <w:rFonts w:ascii="Arial Unicode MS" w:eastAsia="Arial Unicode MS" w:hint="eastAsia"/>
          <w:sz w:val="44"/>
        </w:rPr>
      </w:pPr>
      <w:r>
        <w:rPr>
          <w:rFonts w:ascii="Arial Unicode MS" w:eastAsia="Arial Unicode MS" w:hint="eastAsia"/>
          <w:sz w:val="44"/>
        </w:rPr>
        <w:t>关于推进工程总承包发展的指导意见</w:t>
      </w:r>
    </w:p>
    <w:p>
      <w:pPr>
        <w:pStyle w:val="BodyText"/>
        <w:rPr>
          <w:rFonts w:ascii="Arial Unicode MS"/>
          <w:sz w:val="30"/>
        </w:rPr>
      </w:pPr>
    </w:p>
    <w:p>
      <w:pPr>
        <w:pStyle w:val="BodyText"/>
        <w:spacing w:line="328" w:lineRule="auto"/>
        <w:ind w:left="151" w:right="128"/>
      </w:pPr>
      <w:r>
        <w:rPr>
          <w:spacing w:val="-8"/>
        </w:rPr>
        <w:t>各市住房城乡建设委</w:t>
      </w:r>
      <w:r>
        <w:rPr>
          <w:spacing w:val="-3"/>
        </w:rPr>
        <w:t>（</w:t>
      </w:r>
      <w:r>
        <w:rPr>
          <w:spacing w:val="-9"/>
        </w:rPr>
        <w:t>城乡建设委、城乡规划建设委</w:t>
      </w:r>
      <w:r>
        <w:rPr>
          <w:spacing w:val="-159"/>
        </w:rPr>
        <w:t>）</w:t>
      </w:r>
      <w:r>
        <w:rPr>
          <w:spacing w:val="-12"/>
        </w:rPr>
        <w:t>、发展改革</w:t>
      </w:r>
      <w:r>
        <w:rPr>
          <w:spacing w:val="-3"/>
        </w:rPr>
        <w:t>委、公安局、财政局、交通运输局、水利</w:t>
      </w:r>
      <w:r>
        <w:rPr/>
        <w:t>（水务</w:t>
      </w:r>
      <w:r>
        <w:rPr>
          <w:spacing w:val="-3"/>
        </w:rPr>
        <w:t>）</w:t>
      </w:r>
      <w:r>
        <w:rPr/>
        <w:t>局、重点工程</w:t>
      </w:r>
      <w:r>
        <w:rPr>
          <w:spacing w:val="-11"/>
        </w:rPr>
        <w:t>局、公共资源交易监督管理局</w:t>
      </w:r>
      <w:r>
        <w:rPr/>
        <w:t>（</w:t>
      </w:r>
      <w:r>
        <w:rPr>
          <w:spacing w:val="-3"/>
        </w:rPr>
        <w:t>办</w:t>
      </w:r>
      <w:r>
        <w:rPr>
          <w:spacing w:val="-97"/>
        </w:rPr>
        <w:t>）</w:t>
      </w:r>
      <w:r>
        <w:rPr>
          <w:spacing w:val="-14"/>
        </w:rPr>
        <w:t>，广德、宿松县住房城乡建设</w:t>
      </w:r>
      <w:r>
        <w:rPr>
          <w:spacing w:val="-3"/>
          <w:w w:val="95"/>
        </w:rPr>
        <w:t>委</w:t>
      </w:r>
      <w:r>
        <w:rPr>
          <w:w w:val="95"/>
        </w:rPr>
        <w:t>（</w:t>
      </w:r>
      <w:r>
        <w:rPr>
          <w:spacing w:val="-3"/>
          <w:w w:val="95"/>
        </w:rPr>
        <w:t>局</w:t>
      </w:r>
      <w:r>
        <w:rPr>
          <w:spacing w:val="-159"/>
          <w:w w:val="95"/>
        </w:rPr>
        <w:t>）</w:t>
      </w:r>
      <w:r>
        <w:rPr>
          <w:spacing w:val="-3"/>
          <w:w w:val="95"/>
        </w:rPr>
        <w:t>、发展改革委、公安局、财政局、交通运输局、水利局、 </w:t>
      </w:r>
      <w:r>
        <w:rPr>
          <w:spacing w:val="-3"/>
        </w:rPr>
        <w:t>重点工程局、公共资源交易监督管理局：</w:t>
      </w:r>
    </w:p>
    <w:p>
      <w:pPr>
        <w:pStyle w:val="BodyText"/>
        <w:spacing w:line="400" w:lineRule="exact"/>
        <w:ind w:left="782"/>
      </w:pPr>
      <w:r>
        <w:rPr/>
        <w:t>为加快我省建筑业改革发展，完善工程建设组织模式，提高</w:t>
      </w:r>
    </w:p>
    <w:p>
      <w:pPr>
        <w:spacing w:after="0" w:line="400" w:lineRule="exact"/>
        <w:sectPr>
          <w:footerReference w:type="default" r:id="rId5"/>
          <w:footerReference w:type="even" r:id="rId6"/>
          <w:type w:val="continuous"/>
          <w:pgSz w:w="11910" w:h="16840"/>
          <w:pgMar w:footer="1086" w:top="1580" w:bottom="1280" w:left="1380" w:right="1180"/>
          <w:pgNumType w:start="1"/>
        </w:sectPr>
      </w:pP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line="328" w:lineRule="auto" w:before="54"/>
        <w:ind w:left="151" w:right="260"/>
        <w:jc w:val="both"/>
      </w:pPr>
      <w:r>
        <w:rPr>
          <w:spacing w:val="-3"/>
          <w:w w:val="95"/>
        </w:rPr>
        <w:t>工程项目管理水平，根据《住房城乡建设部关于进一步推进工程 </w:t>
      </w:r>
      <w:r>
        <w:rPr>
          <w:spacing w:val="-16"/>
        </w:rPr>
        <w:t>总承包发展的若干意见》</w:t>
      </w:r>
      <w:r>
        <w:rPr/>
        <w:t>（建市〔2016〕93</w:t>
      </w:r>
      <w:r>
        <w:rPr>
          <w:spacing w:val="-36"/>
        </w:rPr>
        <w:t> 号</w:t>
      </w:r>
      <w:r>
        <w:rPr>
          <w:spacing w:val="-156"/>
        </w:rPr>
        <w:t>）</w:t>
      </w:r>
      <w:r>
        <w:rPr>
          <w:spacing w:val="-21"/>
        </w:rPr>
        <w:t>、《安徽省人民政</w:t>
      </w:r>
      <w:r>
        <w:rPr>
          <w:spacing w:val="-11"/>
          <w:w w:val="95"/>
        </w:rPr>
        <w:t>府办公厅关于推进工程建设管理改革促进建筑业持续健康发展的 </w:t>
      </w:r>
      <w:r>
        <w:rPr>
          <w:spacing w:val="-36"/>
        </w:rPr>
        <w:t>实施意见》</w:t>
      </w:r>
      <w:r>
        <w:rPr/>
        <w:t>（</w:t>
      </w:r>
      <w:r>
        <w:rPr>
          <w:spacing w:val="2"/>
        </w:rPr>
        <w:t>皖政办〔</w:t>
      </w:r>
      <w:r>
        <w:rPr/>
        <w:t>2017〕97</w:t>
      </w:r>
      <w:r>
        <w:rPr>
          <w:spacing w:val="-37"/>
        </w:rPr>
        <w:t> 号</w:t>
      </w:r>
      <w:r>
        <w:rPr/>
        <w:t>）等文件要求，现就推进工程</w:t>
      </w:r>
      <w:r>
        <w:rPr>
          <w:spacing w:val="-3"/>
        </w:rPr>
        <w:t>总承包发展提出以下指导意见。</w:t>
      </w:r>
    </w:p>
    <w:p>
      <w:pPr>
        <w:pStyle w:val="BodyText"/>
        <w:spacing w:line="402" w:lineRule="exact"/>
        <w:ind w:left="782"/>
        <w:rPr>
          <w:rFonts w:ascii="黑体" w:eastAsia="黑体" w:hint="eastAsia"/>
        </w:rPr>
      </w:pPr>
      <w:r>
        <w:rPr>
          <w:rFonts w:ascii="黑体" w:eastAsia="黑体" w:hint="eastAsia"/>
        </w:rPr>
        <w:t>一、总体要求</w:t>
      </w:r>
    </w:p>
    <w:p>
      <w:pPr>
        <w:pStyle w:val="BodyText"/>
        <w:spacing w:before="149"/>
        <w:ind w:left="782"/>
      </w:pPr>
      <w:r>
        <w:rPr/>
        <w:t>（一）指导思想</w:t>
      </w:r>
    </w:p>
    <w:p>
      <w:pPr>
        <w:pStyle w:val="BodyText"/>
        <w:spacing w:line="328" w:lineRule="auto" w:before="152"/>
        <w:ind w:left="151" w:right="260" w:firstLine="631"/>
        <w:jc w:val="both"/>
      </w:pPr>
      <w:r>
        <w:rPr>
          <w:w w:val="95"/>
        </w:rPr>
        <w:t>深入贯彻党的十九大精神，以习近平新时代中国特色社会主 </w:t>
      </w:r>
      <w:r>
        <w:rPr>
          <w:spacing w:val="-3"/>
          <w:w w:val="95"/>
        </w:rPr>
        <w:t>义思想为指导，牢固树立新发展理念，以确保工程质量安全为前 提，以改革创新为动力，大力推进工程总承包发展，促进建筑业 产业转型升级，提升建筑业企业综合竞争力，为建设现代化五大 </w:t>
      </w:r>
      <w:r>
        <w:rPr>
          <w:spacing w:val="-3"/>
        </w:rPr>
        <w:t>发展美好安徽提供有力支撑。</w:t>
      </w:r>
    </w:p>
    <w:p>
      <w:pPr>
        <w:pStyle w:val="BodyText"/>
        <w:spacing w:line="400" w:lineRule="exact"/>
        <w:ind w:left="782"/>
      </w:pPr>
      <w:r>
        <w:rPr/>
        <w:t>（二）基本原则</w:t>
      </w:r>
    </w:p>
    <w:p>
      <w:pPr>
        <w:pStyle w:val="BodyText"/>
        <w:spacing w:line="328" w:lineRule="auto" w:before="152"/>
        <w:ind w:left="151" w:right="262" w:firstLine="631"/>
        <w:jc w:val="both"/>
      </w:pPr>
      <w:r>
        <w:rPr>
          <w:spacing w:val="-1"/>
          <w:w w:val="95"/>
        </w:rPr>
        <w:t>政府推动，市场主导。各地要加大工程总承包支持力度，出 </w:t>
      </w:r>
      <w:r>
        <w:rPr>
          <w:spacing w:val="-3"/>
          <w:w w:val="95"/>
        </w:rPr>
        <w:t>台具体配套政策。充分发挥市场在工程建设资源配置中的决定性 作用，鼓励和引导建设单位按照质量可靠、效率优先的要求，积 极采用工程总承包，形成质量效益明显提升、企业合作共赢的良 </w:t>
      </w:r>
      <w:r>
        <w:rPr>
          <w:spacing w:val="-3"/>
        </w:rPr>
        <w:t>好局面。</w:t>
      </w:r>
    </w:p>
    <w:p>
      <w:pPr>
        <w:pStyle w:val="BodyText"/>
        <w:spacing w:line="328" w:lineRule="auto"/>
        <w:ind w:left="151" w:right="262" w:firstLine="631"/>
        <w:jc w:val="both"/>
      </w:pPr>
      <w:r>
        <w:rPr>
          <w:w w:val="95"/>
        </w:rPr>
        <w:t>改革创新，健全制度。改革当前不适应建筑业发展的体制机 </w:t>
      </w:r>
      <w:r>
        <w:rPr>
          <w:spacing w:val="-3"/>
          <w:w w:val="95"/>
        </w:rPr>
        <w:t>制，完善工程建设组织模式，转变监管方式，优化营商环境，推 动工程技术创新，建立工程总承包招标投标、质量安全监管等制 </w:t>
      </w:r>
      <w:r>
        <w:rPr>
          <w:spacing w:val="-3"/>
        </w:rPr>
        <w:t>度，规范市场秩序，推进设计施工一体化融合发展。</w:t>
      </w:r>
    </w:p>
    <w:p>
      <w:pPr>
        <w:pStyle w:val="BodyText"/>
        <w:spacing w:line="326" w:lineRule="auto"/>
        <w:ind w:left="151" w:right="262" w:firstLine="631"/>
        <w:jc w:val="both"/>
      </w:pPr>
      <w:r>
        <w:rPr>
          <w:w w:val="95"/>
        </w:rPr>
        <w:t>试点先行，逐步推进。选择一批政府投资建设项目及骨干企 </w:t>
      </w:r>
      <w:r>
        <w:rPr>
          <w:spacing w:val="-3"/>
          <w:w w:val="95"/>
        </w:rPr>
        <w:t>业，先行开展工程总承包试点。在试点过程中培育一批工程总承</w:t>
      </w:r>
    </w:p>
    <w:p>
      <w:pPr>
        <w:spacing w:after="0" w:line="326" w:lineRule="auto"/>
        <w:jc w:val="both"/>
        <w:sectPr>
          <w:pgSz w:w="11910" w:h="16840"/>
          <w:pgMar w:header="0" w:footer="1086" w:top="1580" w:bottom="1280" w:left="1380" w:right="1180"/>
        </w:sectPr>
      </w:pP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line="328" w:lineRule="auto" w:before="54"/>
        <w:ind w:left="151" w:right="198"/>
      </w:pPr>
      <w:r>
        <w:rPr>
          <w:w w:val="95"/>
        </w:rPr>
        <w:t>包企业和专业技术人才队伍，提高工程总承包企业的供给质量和 </w:t>
      </w:r>
      <w:r>
        <w:rPr/>
        <w:t>能力，形成示范效应，推动全省工程总承包有序发展。</w:t>
      </w:r>
    </w:p>
    <w:p>
      <w:pPr>
        <w:pStyle w:val="BodyText"/>
        <w:spacing w:line="407" w:lineRule="exact"/>
        <w:ind w:left="782"/>
      </w:pPr>
      <w:r>
        <w:rPr/>
        <w:t>（三）工作目标</w:t>
      </w:r>
    </w:p>
    <w:p>
      <w:pPr>
        <w:pStyle w:val="BodyText"/>
        <w:spacing w:line="328" w:lineRule="auto" w:before="149"/>
        <w:ind w:left="151" w:right="260" w:firstLine="631"/>
        <w:jc w:val="both"/>
      </w:pPr>
      <w:r>
        <w:rPr>
          <w:w w:val="95"/>
        </w:rPr>
        <w:t>通过完善政策制度、健全监管体系、配套服务支撑，逐步构 </w:t>
      </w:r>
      <w:r>
        <w:rPr/>
        <w:t>建以工程总承包为主的工程建设市场。2018-2020</w:t>
      </w:r>
      <w:r>
        <w:rPr>
          <w:spacing w:val="-13"/>
        </w:rPr>
        <w:t> 年，政府投资</w:t>
      </w:r>
      <w:r>
        <w:rPr>
          <w:spacing w:val="-9"/>
          <w:w w:val="95"/>
        </w:rPr>
        <w:t>和使用国有资金新建项目应逐步采用工程总承包，装配式建筑原 </w:t>
      </w:r>
      <w:r>
        <w:rPr>
          <w:spacing w:val="-7"/>
          <w:w w:val="95"/>
        </w:rPr>
        <w:t>则上采用工程总承包，鼓励和支持社会资本投资新建项目采用工 </w:t>
      </w:r>
      <w:r>
        <w:rPr/>
        <w:t>程总承包。2021-2025</w:t>
      </w:r>
      <w:r>
        <w:rPr>
          <w:spacing w:val="-8"/>
        </w:rPr>
        <w:t> 年，政府投资和使用国有资金新建项目应</w:t>
      </w:r>
      <w:r>
        <w:rPr>
          <w:spacing w:val="-7"/>
          <w:w w:val="95"/>
        </w:rPr>
        <w:t>全面推广工程总承包，在社会资本投资新建项目中推广工程总承 </w:t>
      </w:r>
      <w:r>
        <w:rPr>
          <w:spacing w:val="-2"/>
        </w:rPr>
        <w:t>包。</w:t>
      </w:r>
    </w:p>
    <w:p>
      <w:pPr>
        <w:pStyle w:val="BodyText"/>
        <w:spacing w:line="400" w:lineRule="exact"/>
        <w:ind w:left="782"/>
        <w:rPr>
          <w:rFonts w:ascii="黑体" w:eastAsia="黑体" w:hint="eastAsia"/>
        </w:rPr>
      </w:pPr>
      <w:r>
        <w:rPr>
          <w:rFonts w:ascii="黑体" w:eastAsia="黑体" w:hint="eastAsia"/>
        </w:rPr>
        <w:t>二、重点任务</w:t>
      </w:r>
    </w:p>
    <w:p>
      <w:pPr>
        <w:pStyle w:val="BodyText"/>
        <w:spacing w:line="328" w:lineRule="auto" w:before="150"/>
        <w:ind w:left="151" w:right="104" w:firstLine="631"/>
      </w:pPr>
      <w:r>
        <w:rPr/>
        <w:t>（四）深化建设方式改革。把推行工程总承包作为全省工程</w:t>
      </w:r>
      <w:r>
        <w:rPr>
          <w:spacing w:val="-2"/>
        </w:rPr>
        <w:t>建设管理改革的重要任务，打破分段碎片式的工程承包方式，引</w:t>
      </w:r>
      <w:r>
        <w:rPr>
          <w:spacing w:val="-9"/>
          <w:w w:val="95"/>
        </w:rPr>
        <w:t>导和支持建设单位采用工程总承包实施项目建设。各市、县</w:t>
      </w:r>
      <w:r>
        <w:rPr>
          <w:w w:val="95"/>
        </w:rPr>
        <w:t>（</w:t>
      </w:r>
      <w:r>
        <w:rPr>
          <w:spacing w:val="-3"/>
          <w:w w:val="95"/>
        </w:rPr>
        <w:t>市</w:t>
      </w:r>
      <w:r>
        <w:rPr>
          <w:w w:val="95"/>
        </w:rPr>
        <w:t>） </w:t>
      </w:r>
      <w:r>
        <w:rPr>
          <w:spacing w:val="-2"/>
        </w:rPr>
        <w:t>要结合工程建设市场实际，编制本地工程总承包推广计划，逐步</w:t>
      </w:r>
      <w:r>
        <w:rPr>
          <w:spacing w:val="-3"/>
        </w:rPr>
        <w:t>释放工程总承包市场需求，通过需求牵引工程总承包市场供给， 积极稳妥地推进工程建设组织方式改革。</w:t>
      </w:r>
    </w:p>
    <w:p>
      <w:pPr>
        <w:pStyle w:val="BodyText"/>
        <w:spacing w:line="328" w:lineRule="auto"/>
        <w:ind w:left="151" w:right="260" w:firstLine="631"/>
        <w:jc w:val="both"/>
      </w:pPr>
      <w:r>
        <w:rPr>
          <w:w w:val="95"/>
        </w:rPr>
        <w:t>（五）完善招标投标制度。建设单位可以根据项目特点，在 </w:t>
      </w:r>
      <w:r>
        <w:rPr>
          <w:spacing w:val="-2"/>
          <w:w w:val="95"/>
        </w:rPr>
        <w:t>可行性研究、方案设计或者初步设计完成后，按照确定的建设规 </w:t>
      </w:r>
      <w:r>
        <w:rPr>
          <w:spacing w:val="-3"/>
          <w:w w:val="95"/>
        </w:rPr>
        <w:t>模、建设标准、投资限额、工程质量和进度等要求，组织开展工 程总承包发包工作。鼓励工程总承包项目同时实施全过程工程咨 询服务。工程总承包企业应当具有与工程规模相适应的施工总承 包资质或工程设计资质，以及相应的财务、风险承担能力，同时 具有相应的组织机构、项目管理体系、项目管理专业人员、施工</w:t>
      </w:r>
    </w:p>
    <w:p>
      <w:pPr>
        <w:spacing w:after="0" w:line="328" w:lineRule="auto"/>
        <w:jc w:val="both"/>
        <w:sectPr>
          <w:pgSz w:w="11910" w:h="16840"/>
          <w:pgMar w:header="0" w:footer="1086" w:top="1580" w:bottom="1280" w:left="1380" w:right="1180"/>
        </w:sectPr>
      </w:pP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line="328" w:lineRule="auto" w:before="54"/>
        <w:ind w:left="151" w:right="104"/>
      </w:pPr>
      <w:r>
        <w:rPr>
          <w:spacing w:val="-2"/>
        </w:rPr>
        <w:t>或工程设计业绩。工程总承包评标应采用综合评估法，评审的主</w:t>
      </w:r>
      <w:r>
        <w:rPr>
          <w:spacing w:val="-3"/>
        </w:rPr>
        <w:t>要因素包括工程总承包报价、项目管理组织方案、设计方案、设备采购方案、施工计划、工程业绩等。根据合同约定，由工程总</w:t>
      </w:r>
      <w:r>
        <w:rPr>
          <w:spacing w:val="-14"/>
          <w:w w:val="95"/>
        </w:rPr>
        <w:t>承包企业负责材料、设备等采购的，建设单位不得指定生产厂家、 </w:t>
      </w:r>
      <w:r>
        <w:rPr>
          <w:spacing w:val="-3"/>
        </w:rPr>
        <w:t>供应商。</w:t>
      </w:r>
    </w:p>
    <w:p>
      <w:pPr>
        <w:pStyle w:val="BodyText"/>
        <w:spacing w:line="328" w:lineRule="auto"/>
        <w:ind w:left="151" w:right="260" w:firstLine="631"/>
        <w:jc w:val="both"/>
      </w:pPr>
      <w:r>
        <w:rPr>
          <w:w w:val="95"/>
        </w:rPr>
        <w:t>（六）严格分包管理。工程总承包企业可以在其资质许可的 </w:t>
      </w:r>
      <w:r>
        <w:rPr>
          <w:spacing w:val="-2"/>
          <w:w w:val="95"/>
        </w:rPr>
        <w:t>工程项目范围内自行实施设计和施工，也可以根据合同约定或者 </w:t>
      </w:r>
      <w:r>
        <w:rPr>
          <w:spacing w:val="-3"/>
          <w:w w:val="95"/>
        </w:rPr>
        <w:t>经建设单位同意，直接将工程项目的设计或者施工业务择优分包 给具有相应资质的企业。仅具有设计资质的企业承接工程总承包 项目时，应当将工程总承包项目中的施工业务依法分包给具有相 应施工资质的企业；仅具有施工资质的企业承接工程总承包项目 时，应当将工程总承包项目中的设计业务依法分包给具有相应设 计资质的企业。工程总承包企业自行实施设计的，不得将工程总 承包项目工程主体部分的设计业务分包给其他单位。工程总承包 企业自行实施施工的，不得将工程总承包项目工程主体结构的施 工业务分包给其他单位。严禁工程总承包企业将承接的工程总承 </w:t>
      </w:r>
      <w:r>
        <w:rPr>
          <w:spacing w:val="-3"/>
        </w:rPr>
        <w:t>包项目转包。</w:t>
      </w:r>
    </w:p>
    <w:p>
      <w:pPr>
        <w:pStyle w:val="BodyText"/>
        <w:spacing w:line="390" w:lineRule="exact"/>
        <w:ind w:left="782"/>
      </w:pPr>
      <w:r>
        <w:rPr>
          <w:spacing w:val="-3"/>
        </w:rPr>
        <w:t>（</w:t>
      </w:r>
      <w:r>
        <w:rPr/>
        <w:t>七</w:t>
      </w:r>
      <w:r>
        <w:rPr>
          <w:spacing w:val="-34"/>
        </w:rPr>
        <w:t>）</w:t>
      </w:r>
      <w:r>
        <w:rPr>
          <w:spacing w:val="-10"/>
        </w:rPr>
        <w:t>推进设计施工融合发展。鼓励工程勘察、设计、施工、</w:t>
      </w:r>
    </w:p>
    <w:p>
      <w:pPr>
        <w:pStyle w:val="BodyText"/>
        <w:spacing w:line="328" w:lineRule="auto" w:before="142"/>
        <w:ind w:left="151" w:right="260"/>
        <w:jc w:val="both"/>
      </w:pPr>
      <w:r>
        <w:rPr>
          <w:spacing w:val="-3"/>
          <w:w w:val="95"/>
        </w:rPr>
        <w:t>制造企业跨行业、跨专业兼并重组，支持勘察、设计、施工、制 造企业相互参股、融合发展。鼓励工程设计企业申请建筑业企业 资质，已取得工程设计综合资质、行业甲级资质的企业，可以直 接申请相应类别施工总承包二级资质。具有一级及以上施工总承 包资质的企业可直接申请同类别或相近类别的工程设计乙级资质</w:t>
      </w:r>
    </w:p>
    <w:p>
      <w:pPr>
        <w:pStyle w:val="BodyText"/>
        <w:spacing w:line="402" w:lineRule="exact"/>
        <w:ind w:left="151"/>
      </w:pPr>
      <w:r>
        <w:rPr>
          <w:spacing w:val="-3"/>
          <w:w w:val="95"/>
        </w:rPr>
        <w:t>（不设乙级的除外</w:t>
      </w:r>
      <w:r>
        <w:rPr>
          <w:spacing w:val="-159"/>
          <w:w w:val="95"/>
        </w:rPr>
        <w:t>）</w:t>
      </w:r>
      <w:r>
        <w:rPr>
          <w:spacing w:val="-14"/>
          <w:w w:val="95"/>
        </w:rPr>
        <w:t>。企业完成的工程总承包业绩中的工程设计业</w:t>
      </w:r>
    </w:p>
    <w:p>
      <w:pPr>
        <w:spacing w:after="0" w:line="402" w:lineRule="exact"/>
        <w:sectPr>
          <w:pgSz w:w="11910" w:h="16840"/>
          <w:pgMar w:header="0" w:footer="1086" w:top="1580" w:bottom="1280" w:left="1380" w:right="1180"/>
        </w:sectPr>
      </w:pP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line="328" w:lineRule="auto" w:before="54"/>
        <w:ind w:left="151" w:right="260"/>
        <w:jc w:val="both"/>
      </w:pPr>
      <w:r>
        <w:rPr>
          <w:spacing w:val="-2"/>
          <w:w w:val="95"/>
        </w:rPr>
        <w:t>绩可以作为其代表业绩申报设计资质，完成的工程总承包业绩中 </w:t>
      </w:r>
      <w:r>
        <w:rPr>
          <w:spacing w:val="-3"/>
          <w:w w:val="95"/>
        </w:rPr>
        <w:t>的工程施工业绩可以作为其代表业绩申报施工资质。具体规定由 </w:t>
      </w:r>
      <w:r>
        <w:rPr>
          <w:spacing w:val="-3"/>
        </w:rPr>
        <w:t>省住房城乡建设厅会同省相关行业主管部门制定。</w:t>
      </w:r>
    </w:p>
    <w:p>
      <w:pPr>
        <w:pStyle w:val="BodyText"/>
        <w:spacing w:line="328" w:lineRule="auto"/>
        <w:ind w:left="151" w:right="104" w:firstLine="631"/>
      </w:pPr>
      <w:r>
        <w:rPr>
          <w:rFonts w:ascii="楷体" w:eastAsia="楷体" w:hint="eastAsia"/>
        </w:rPr>
        <w:t>（八）加强工程总承包项目管理。</w:t>
      </w:r>
      <w:r>
        <w:rPr>
          <w:spacing w:val="-1"/>
        </w:rPr>
        <w:t>工程总承包企业应当根据</w:t>
      </w:r>
      <w:r>
        <w:rPr>
          <w:spacing w:val="-14"/>
          <w:w w:val="95"/>
        </w:rPr>
        <w:t>合同约定和项目特点，制定工程总承包管理计划和项目实施计划，  </w:t>
      </w:r>
      <w:r>
        <w:rPr>
          <w:spacing w:val="-11"/>
          <w:w w:val="95"/>
        </w:rPr>
        <w:t>建立工程总承包管理与协调制度，加强设计、采购与施工的协调， </w:t>
      </w:r>
      <w:r>
        <w:rPr>
          <w:spacing w:val="-8"/>
        </w:rPr>
        <w:t>完善和优化设计，改进施工方案，合理调配设计、采购和施工力</w:t>
      </w:r>
      <w:r>
        <w:rPr>
          <w:spacing w:val="-7"/>
        </w:rPr>
        <w:t>量，实现对工程总承包项目的有效控制。住房城乡建设部门应完</w:t>
      </w:r>
      <w:r>
        <w:rPr>
          <w:spacing w:val="-3"/>
        </w:rPr>
        <w:t>善工程总承包质量安全报监、施工许可等程序，在相关许可和备案表格中增加工程总承包企业、工程总承包项目经理等栏目。</w:t>
      </w:r>
    </w:p>
    <w:p>
      <w:pPr>
        <w:pStyle w:val="BodyText"/>
        <w:spacing w:line="328" w:lineRule="auto"/>
        <w:ind w:left="151" w:right="260" w:firstLine="631"/>
        <w:jc w:val="both"/>
      </w:pPr>
      <w:r>
        <w:rPr>
          <w:w w:val="95"/>
        </w:rPr>
        <w:t>（</w:t>
      </w:r>
      <w:r>
        <w:rPr>
          <w:rFonts w:ascii="楷体" w:eastAsia="楷体" w:hint="eastAsia"/>
          <w:w w:val="95"/>
        </w:rPr>
        <w:t>九）落实工程总承包各方主体责任。</w:t>
      </w:r>
      <w:r>
        <w:rPr>
          <w:spacing w:val="-2"/>
          <w:w w:val="95"/>
        </w:rPr>
        <w:t>全面落实各方主体的 </w:t>
      </w:r>
      <w:r>
        <w:rPr>
          <w:spacing w:val="-3"/>
          <w:w w:val="95"/>
        </w:rPr>
        <w:t>质量安全责任，特别要强化建设单位的首要责任。工程总承包企 业对工程总承包项目的质量安全全面负责。工程总承包企业按照 合同约定对建设单位负责，分包企业按照分包合同约定对工程总 承包企业负责。工程分包不能免除工程总承包企业的合同义务和 法律责任，工程总承包企业和分包企业就分包工程对建设单位承 担连带责任。工程总承包企业和建设单位应当加强风险管理，公 </w:t>
      </w:r>
      <w:r>
        <w:rPr>
          <w:spacing w:val="-3"/>
        </w:rPr>
        <w:t>平合理分担风险。其余各方责任主体按现行法律法规落实责任。</w:t>
      </w:r>
    </w:p>
    <w:p>
      <w:pPr>
        <w:pStyle w:val="BodyText"/>
        <w:spacing w:line="395" w:lineRule="exact"/>
        <w:ind w:left="782"/>
      </w:pPr>
      <w:r>
        <w:rPr>
          <w:rFonts w:ascii="楷体" w:eastAsia="楷体" w:hint="eastAsia"/>
          <w:w w:val="95"/>
        </w:rPr>
        <w:t>（十）</w:t>
      </w:r>
      <w:r>
        <w:rPr>
          <w:w w:val="95"/>
        </w:rPr>
        <w:t>建立技术创新激励机制。推进工程总承包项目信息化</w:t>
      </w:r>
    </w:p>
    <w:p>
      <w:pPr>
        <w:pStyle w:val="BodyText"/>
        <w:spacing w:line="328" w:lineRule="auto" w:before="136"/>
        <w:ind w:left="151" w:right="260"/>
        <w:jc w:val="both"/>
      </w:pPr>
      <w:r>
        <w:rPr>
          <w:spacing w:val="-16"/>
        </w:rPr>
        <w:t>管理，加快 </w:t>
      </w:r>
      <w:r>
        <w:rPr/>
        <w:t>BIM</w:t>
      </w:r>
      <w:r>
        <w:rPr>
          <w:spacing w:val="-11"/>
        </w:rPr>
        <w:t> 技术在规划、勘察、设计、施工和运维全过程的</w:t>
      </w:r>
      <w:r>
        <w:rPr>
          <w:spacing w:val="-8"/>
          <w:w w:val="95"/>
        </w:rPr>
        <w:t>集成应用。引导工程总承包企业建立以市场为导向、产学研相结 </w:t>
      </w:r>
      <w:r>
        <w:rPr>
          <w:spacing w:val="-7"/>
          <w:w w:val="95"/>
        </w:rPr>
        <w:t>合的技术创新体系，鼓励企业开发拥有自主知识产权的专利和专 </w:t>
      </w:r>
      <w:r>
        <w:rPr>
          <w:spacing w:val="-6"/>
          <w:w w:val="95"/>
        </w:rPr>
        <w:t>有技术。工程总承包企业应采用先进工程技术进行设计、施工、 运维优化，组织编制优化方案，报建设单位审核同意后方可应用</w:t>
      </w:r>
    </w:p>
    <w:p>
      <w:pPr>
        <w:spacing w:after="0" w:line="328" w:lineRule="auto"/>
        <w:jc w:val="both"/>
        <w:sectPr>
          <w:pgSz w:w="11910" w:h="16840"/>
          <w:pgMar w:header="0" w:footer="1086" w:top="1580" w:bottom="1280" w:left="1380" w:right="1180"/>
        </w:sectPr>
      </w:pP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line="328" w:lineRule="auto" w:before="54"/>
        <w:ind w:left="151" w:right="104"/>
      </w:pPr>
      <w:r>
        <w:rPr>
          <w:spacing w:val="-12"/>
          <w:w w:val="95"/>
        </w:rPr>
        <w:t>工程实践。对优化方案有效提高工程质量、缩短工期、节省投资、 </w:t>
      </w:r>
      <w:r>
        <w:rPr>
          <w:spacing w:val="-8"/>
        </w:rPr>
        <w:t>降低运维费用以及延长设计寿命的，建设单位可根据所产生效益</w:t>
      </w:r>
      <w:r>
        <w:rPr>
          <w:spacing w:val="-3"/>
        </w:rPr>
        <w:t>给予相应的奖励。</w:t>
      </w:r>
    </w:p>
    <w:p>
      <w:pPr>
        <w:pStyle w:val="BodyText"/>
        <w:spacing w:line="328" w:lineRule="auto"/>
        <w:ind w:left="151" w:right="260" w:firstLine="631"/>
        <w:jc w:val="both"/>
      </w:pPr>
      <w:r>
        <w:rPr>
          <w:w w:val="95"/>
        </w:rPr>
        <w:t>（十一）</w:t>
      </w:r>
      <w:r>
        <w:rPr>
          <w:spacing w:val="-1"/>
          <w:w w:val="95"/>
        </w:rPr>
        <w:t>推进工程总承包担保工作。推行工程总承包企业采 </w:t>
      </w:r>
      <w:r>
        <w:rPr>
          <w:spacing w:val="-3"/>
          <w:w w:val="95"/>
        </w:rPr>
        <w:t>用以银行保函为主的多种担保形式，向建设单位提供履约担保。 鼓励保险公司针对工程总承包开展保险业务创新，为建设单位、 工程总承包企业、分包企业、供货企业、制造企业提供全方位的 </w:t>
      </w:r>
      <w:r>
        <w:rPr>
          <w:spacing w:val="-3"/>
        </w:rPr>
        <w:t>工程保险服务。</w:t>
      </w:r>
    </w:p>
    <w:p>
      <w:pPr>
        <w:pStyle w:val="BodyText"/>
        <w:spacing w:line="328" w:lineRule="auto"/>
        <w:ind w:left="151" w:right="130" w:firstLine="631"/>
        <w:jc w:val="both"/>
      </w:pPr>
      <w:r>
        <w:rPr/>
        <w:t>（十二）加强人才队伍建设。落实工程总承包企业培训主体责任，支持行业协会、高等院校、职业院校采取合作共建、订单培养、市场运作等方式，培养一批符合工程总承包业务需求的项目经理及从事项目控制、设计管理、采购管理、施工管理、合同管理、成本管理、质量安全管理和风险管理等方面人才。鼓励相关高校与地方政府、企业共建各类创新创业载体，推动工程总承包高层次人才向工程总承包企业聚集。建立健全工程总承包相关</w:t>
      </w:r>
      <w:r>
        <w:rPr>
          <w:w w:val="95"/>
        </w:rPr>
        <w:t>职业技能和认定标准体系，为工程总承包快速发展提供制度保障。</w:t>
      </w:r>
    </w:p>
    <w:p>
      <w:pPr>
        <w:pStyle w:val="BodyText"/>
        <w:spacing w:line="397" w:lineRule="exact"/>
        <w:ind w:left="782"/>
      </w:pPr>
      <w:r>
        <w:rPr/>
        <w:t>（十三）强化监督管理。大力推进信用体系建设，规范工程</w:t>
      </w:r>
    </w:p>
    <w:p>
      <w:pPr>
        <w:pStyle w:val="BodyText"/>
        <w:spacing w:line="328" w:lineRule="auto" w:before="137"/>
        <w:ind w:left="151" w:right="262"/>
        <w:jc w:val="both"/>
      </w:pPr>
      <w:r>
        <w:rPr>
          <w:spacing w:val="-3"/>
          <w:w w:val="95"/>
        </w:rPr>
        <w:t>总承包市场各方主体行为。建立工程总承包试点项目、试点企业 信息公开制度，接受社会监督。住房城乡建设等部门应按照“双 随机、一公开”原则，适时开展工程总承包项目监督检查，严肃 </w:t>
      </w:r>
      <w:r>
        <w:rPr>
          <w:spacing w:val="-3"/>
        </w:rPr>
        <w:t>查处违法违规行为。</w:t>
      </w:r>
    </w:p>
    <w:p>
      <w:pPr>
        <w:pStyle w:val="BodyText"/>
        <w:spacing w:line="402" w:lineRule="exact"/>
        <w:ind w:left="782"/>
        <w:rPr>
          <w:rFonts w:ascii="黑体" w:eastAsia="黑体" w:hint="eastAsia"/>
        </w:rPr>
      </w:pPr>
      <w:r>
        <w:rPr>
          <w:rFonts w:ascii="黑体" w:eastAsia="黑体" w:hint="eastAsia"/>
        </w:rPr>
        <w:t>三、工作措施</w:t>
      </w:r>
    </w:p>
    <w:p>
      <w:pPr>
        <w:pStyle w:val="BodyText"/>
        <w:spacing w:line="326" w:lineRule="auto" w:before="151"/>
        <w:ind w:left="151" w:right="262" w:firstLine="631"/>
      </w:pPr>
      <w:r>
        <w:rPr>
          <w:w w:val="95"/>
        </w:rPr>
        <w:t>（十四）加强组织领导。各地要把工程建设项目组织方式改 </w:t>
      </w:r>
      <w:r>
        <w:rPr>
          <w:spacing w:val="-3"/>
          <w:w w:val="95"/>
        </w:rPr>
        <w:t>革纳入本地区重要改革事项，制定推进工程总承包实施方案，明</w:t>
      </w:r>
    </w:p>
    <w:p>
      <w:pPr>
        <w:spacing w:after="0" w:line="326" w:lineRule="auto"/>
        <w:sectPr>
          <w:pgSz w:w="11910" w:h="16840"/>
          <w:pgMar w:header="0" w:footer="1086" w:top="1580" w:bottom="1280" w:left="1380" w:right="1180"/>
        </w:sectPr>
      </w:pP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line="328" w:lineRule="auto" w:before="54"/>
        <w:ind w:left="151" w:right="260"/>
        <w:jc w:val="both"/>
      </w:pPr>
      <w:r>
        <w:rPr>
          <w:spacing w:val="-2"/>
          <w:w w:val="95"/>
        </w:rPr>
        <w:t>确目标和任务，进一步建立健全工作机制，完善配套政策，确保 </w:t>
      </w:r>
      <w:r>
        <w:rPr>
          <w:spacing w:val="-3"/>
          <w:w w:val="95"/>
        </w:rPr>
        <w:t>各项任务落到实处。省住房城乡建设厅会同省有关部门把各市推 </w:t>
      </w:r>
      <w:r>
        <w:rPr>
          <w:spacing w:val="-4"/>
        </w:rPr>
        <w:t>进工程总承包情况纳入建筑业发展目标绩效考核。</w:t>
      </w:r>
    </w:p>
    <w:p>
      <w:pPr>
        <w:pStyle w:val="BodyText"/>
        <w:spacing w:line="328" w:lineRule="auto"/>
        <w:ind w:left="151" w:right="260" w:firstLine="631"/>
        <w:jc w:val="both"/>
      </w:pPr>
      <w:r>
        <w:rPr>
          <w:w w:val="95"/>
        </w:rPr>
        <w:t>（十五）压实工作责任。政府投资和使用国有资金新建项目 </w:t>
      </w:r>
      <w:r>
        <w:rPr>
          <w:spacing w:val="-3"/>
          <w:w w:val="95"/>
        </w:rPr>
        <w:t>的建设单位负责确定一批采用工程总承包模式的试点项目。住房 </w:t>
      </w:r>
      <w:r>
        <w:rPr>
          <w:spacing w:val="11"/>
          <w:w w:val="95"/>
        </w:rPr>
        <w:t>城乡建设部门负责指导推进房屋建筑和市政公用领域工程总承 </w:t>
      </w:r>
      <w:r>
        <w:rPr>
          <w:spacing w:val="-1"/>
          <w:w w:val="95"/>
        </w:rPr>
        <w:t>包；交通部门负责指导推进公路、水运领域工程总承包；水利部 </w:t>
      </w:r>
      <w:r>
        <w:rPr>
          <w:spacing w:val="-2"/>
          <w:w w:val="95"/>
        </w:rPr>
        <w:t>门负责指导推进水利</w:t>
      </w:r>
      <w:r>
        <w:rPr>
          <w:w w:val="95"/>
        </w:rPr>
        <w:t>（水电</w:t>
      </w:r>
      <w:r>
        <w:rPr>
          <w:spacing w:val="-3"/>
          <w:w w:val="95"/>
        </w:rPr>
        <w:t>）</w:t>
      </w:r>
      <w:r>
        <w:rPr>
          <w:spacing w:val="-1"/>
          <w:w w:val="95"/>
        </w:rPr>
        <w:t>领域工程总承包；通信部门负责指 </w:t>
      </w:r>
      <w:r>
        <w:rPr>
          <w:spacing w:val="-3"/>
          <w:w w:val="95"/>
        </w:rPr>
        <w:t>导推进通信领域工程总承包；住房城乡建设部门会同统计部门， </w:t>
      </w:r>
      <w:r>
        <w:rPr>
          <w:spacing w:val="-3"/>
        </w:rPr>
        <w:t>做好工程总承包相关产值统计工作。</w:t>
      </w:r>
    </w:p>
    <w:p>
      <w:pPr>
        <w:pStyle w:val="BodyText"/>
        <w:spacing w:line="328" w:lineRule="auto"/>
        <w:ind w:left="151" w:right="104" w:firstLine="631"/>
      </w:pPr>
      <w:r>
        <w:rPr/>
        <w:t>（十六）加强示范引领。以使用国有资金项目和装配式建筑</w:t>
      </w:r>
      <w:r>
        <w:rPr>
          <w:spacing w:val="-3"/>
        </w:rPr>
        <w:t>为重点，督促和引导建设单位积极开展工程总承包试点工作。工程总承包试点企业名单应按照公开、公正、竞争、择优的原则确定，具体确定办法由省相关行业主管部门制定。各地应加强工程</w:t>
      </w:r>
      <w:r>
        <w:rPr>
          <w:spacing w:val="-14"/>
          <w:w w:val="95"/>
        </w:rPr>
        <w:t>总承包试点宣传力度，提高社会认知度，适时组织开展经验交流， </w:t>
      </w:r>
      <w:r>
        <w:rPr>
          <w:spacing w:val="-9"/>
        </w:rPr>
        <w:t>充分调动各方面积极性，共同推动工程总承包，营造工程总承包</w:t>
      </w:r>
      <w:r>
        <w:rPr>
          <w:spacing w:val="-3"/>
        </w:rPr>
        <w:t>快速发展的良好氛围。</w:t>
      </w:r>
    </w:p>
    <w:p>
      <w:pPr>
        <w:pStyle w:val="BodyText"/>
        <w:spacing w:line="397" w:lineRule="exact"/>
        <w:ind w:left="782"/>
      </w:pPr>
      <w:r>
        <w:rPr/>
        <w:t>（十七）加大支持力度。各级财政部门对采用工程总承包的</w:t>
      </w:r>
    </w:p>
    <w:p>
      <w:pPr>
        <w:pStyle w:val="BodyText"/>
        <w:spacing w:line="328" w:lineRule="auto" w:before="134"/>
        <w:ind w:left="151" w:right="104"/>
      </w:pPr>
      <w:r>
        <w:rPr>
          <w:spacing w:val="-22"/>
          <w:w w:val="99"/>
        </w:rPr>
        <w:t>项目，应依法依规切实做好支付保障。各级财政科技计划</w:t>
      </w:r>
      <w:r>
        <w:rPr>
          <w:spacing w:val="-3"/>
          <w:w w:val="99"/>
        </w:rPr>
        <w:t>（</w:t>
      </w:r>
      <w:r>
        <w:rPr>
          <w:spacing w:val="-2"/>
          <w:w w:val="99"/>
        </w:rPr>
        <w:t>项目</w:t>
      </w:r>
      <w:r>
        <w:rPr>
          <w:spacing w:val="-159"/>
          <w:w w:val="99"/>
        </w:rPr>
        <w:t>）</w:t>
      </w:r>
      <w:r>
        <w:rPr>
          <w:w w:val="99"/>
        </w:rPr>
        <w:t>，</w:t>
      </w:r>
      <w:r>
        <w:rPr>
          <w:spacing w:val="-2"/>
        </w:rPr>
        <w:t>按规定支持工程总承包企业构建产学研企业创新体系，加快科技</w:t>
      </w:r>
      <w:r>
        <w:rPr>
          <w:spacing w:val="-3"/>
        </w:rPr>
        <w:t>成果研发转化。相关部门在安排涉及工程建设的试点示范中，应明确要求推进工程总承包。</w:t>
      </w:r>
    </w:p>
    <w:p>
      <w:pPr>
        <w:spacing w:after="0" w:line="328" w:lineRule="auto"/>
        <w:sectPr>
          <w:pgSz w:w="11910" w:h="16840"/>
          <w:pgMar w:header="0" w:footer="1086" w:top="1580" w:bottom="1280" w:left="1380" w:right="11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tabs>
          <w:tab w:pos="5524" w:val="left" w:leader="none"/>
        </w:tabs>
        <w:spacing w:before="55"/>
        <w:ind w:left="770"/>
      </w:pPr>
      <w:r>
        <w:rPr/>
        <w:drawing>
          <wp:anchor distT="0" distB="0" distL="0" distR="0" allowOverlap="1" layoutInCell="1" locked="0" behindDoc="1" simplePos="0" relativeHeight="268426727">
            <wp:simplePos x="0" y="0"/>
            <wp:positionH relativeFrom="page">
              <wp:posOffset>4710684</wp:posOffset>
            </wp:positionH>
            <wp:positionV relativeFrom="paragraph">
              <wp:posOffset>-815594</wp:posOffset>
            </wp:positionV>
            <wp:extent cx="1536191" cy="1545336"/>
            <wp:effectExtent l="0" t="0" r="0" b="0"/>
            <wp:wrapNone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191" cy="1545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68426751">
            <wp:simplePos x="0" y="0"/>
            <wp:positionH relativeFrom="page">
              <wp:posOffset>1612391</wp:posOffset>
            </wp:positionH>
            <wp:positionV relativeFrom="paragraph">
              <wp:posOffset>-788162</wp:posOffset>
            </wp:positionV>
            <wp:extent cx="1536192" cy="1505711"/>
            <wp:effectExtent l="0" t="0" r="0" b="0"/>
            <wp:wrapNone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192" cy="15057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07.519997pt;margin-top:96.099998pt;width:119.3pt;height:119.55pt;mso-position-horizontal-relative:page;mso-position-vertical-relative:paragraph;z-index:1192" coordorigin="2150,1922" coordsize="2386,2391">
            <v:shape style="position:absolute;left:2150;top:1922;width:2386;height:2391" type="#_x0000_t75" stroked="false">
              <v:imagedata r:id="rId9" o:title=""/>
            </v:shape>
            <v:shape style="position:absolute;left:2150;top:1922;width:2386;height:2391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2"/>
                      <w:rPr>
                        <w:sz w:val="40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安徽省公安厅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pacing w:val="-3"/>
        </w:rPr>
        <w:t>安徽省住房和</w:t>
      </w:r>
      <w:r>
        <w:rPr/>
        <w:t>城</w:t>
      </w:r>
      <w:r>
        <w:rPr>
          <w:spacing w:val="-3"/>
        </w:rPr>
        <w:t>乡建设</w:t>
      </w:r>
      <w:r>
        <w:rPr/>
        <w:t>厅</w:t>
        <w:tab/>
      </w:r>
      <w:r>
        <w:rPr>
          <w:spacing w:val="-3"/>
        </w:rPr>
        <w:t>安徽省发展和改革委员</w:t>
      </w:r>
      <w:r>
        <w:rPr/>
        <w:t>会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5"/>
        <w:ind w:left="151"/>
      </w:pPr>
      <w:r>
        <w:rPr/>
        <w:pict>
          <v:group style="position:absolute;margin-left:238.199997pt;margin-top:-252.999985pt;width:266.7pt;height:258.25pt;mso-position-horizontal-relative:page;mso-position-vertical-relative:paragraph;z-index:1288" coordorigin="4764,-5060" coordsize="5334,5165">
            <v:shape style="position:absolute;left:4764;top:-5046;width:2453;height:2410" type="#_x0000_t75" stroked="false">
              <v:imagedata r:id="rId10" o:title=""/>
            </v:shape>
            <v:shape style="position:absolute;left:7449;top:-5060;width:2420;height:2424" type="#_x0000_t75" stroked="false">
              <v:imagedata r:id="rId11" o:title=""/>
            </v:shape>
            <v:shape style="position:absolute;left:6664;top:-2588;width:2631;height:2693" type="#_x0000_t75" stroked="false">
              <v:imagedata r:id="rId12" o:title=""/>
            </v:shape>
            <v:shape style="position:absolute;left:5001;top:-3570;width:1923;height:319" type="#_x0000_t202" filled="false" stroked="false">
              <v:textbox inset="0,0,0,0">
                <w:txbxContent>
                  <w:p>
                    <w:pPr>
                      <w:spacing w:line="319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安徽省财政厅</w:t>
                    </w:r>
                  </w:p>
                </w:txbxContent>
              </v:textbox>
              <w10:wrap type="none"/>
            </v:shape>
            <v:shape style="position:absolute;left:7538;top:-3570;width:2559;height:319" type="#_x0000_t202" filled="false" stroked="false">
              <v:textbox inset="0,0,0,0">
                <w:txbxContent>
                  <w:p>
                    <w:pPr>
                      <w:spacing w:line="319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pacing w:val="-3"/>
                        <w:sz w:val="32"/>
                      </w:rPr>
                      <w:t>安徽省交通运输厅</w:t>
                    </w:r>
                  </w:p>
                </w:txbxContent>
              </v:textbox>
              <w10:wrap type="none"/>
            </v:shape>
            <v:shape style="position:absolute;left:6760;top:-1011;width:2559;height:960" type="#_x0000_t202" filled="false" stroked="false">
              <v:textbox inset="0,0,0,0">
                <w:txbxContent>
                  <w:p>
                    <w:pPr>
                      <w:spacing w:line="364" w:lineRule="exact" w:before="0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pacing w:val="-3"/>
                        <w:sz w:val="32"/>
                      </w:rPr>
                      <w:t>安徽省通信管理局</w:t>
                    </w:r>
                  </w:p>
                  <w:p>
                    <w:pPr>
                      <w:spacing w:line="365" w:lineRule="exact" w:before="231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2018</w:t>
                    </w:r>
                    <w:r>
                      <w:rPr>
                        <w:spacing w:val="-57"/>
                        <w:sz w:val="32"/>
                      </w:rPr>
                      <w:t> 年 </w:t>
                    </w:r>
                    <w:r>
                      <w:rPr>
                        <w:sz w:val="32"/>
                      </w:rPr>
                      <w:t>9</w:t>
                    </w:r>
                    <w:r>
                      <w:rPr>
                        <w:spacing w:val="-57"/>
                        <w:sz w:val="32"/>
                      </w:rPr>
                      <w:t> 月 </w:t>
                    </w:r>
                    <w:r>
                      <w:rPr>
                        <w:sz w:val="32"/>
                      </w:rPr>
                      <w:t>30</w:t>
                    </w:r>
                    <w:r>
                      <w:rPr>
                        <w:spacing w:val="-42"/>
                        <w:sz w:val="32"/>
                      </w:rPr>
                      <w:t> 日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97.32pt;margin-top:-123.519989pt;width:121pt;height:122.9pt;mso-position-horizontal-relative:page;mso-position-vertical-relative:paragraph;z-index:1336" coordorigin="1946,-2470" coordsize="2420,2458">
            <v:shape style="position:absolute;left:1946;top:-2471;width:2420;height:2458" type="#_x0000_t75" stroked="false">
              <v:imagedata r:id="rId13" o:title=""/>
            </v:shape>
            <v:shape style="position:absolute;left:1946;top:-2471;width:2420;height:2458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4"/>
                      <w:rPr>
                        <w:sz w:val="46"/>
                      </w:rPr>
                    </w:pPr>
                  </w:p>
                  <w:p>
                    <w:pPr>
                      <w:spacing w:before="0"/>
                      <w:ind w:left="218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安徽省水利厅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（此件公开发布）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  <w:r>
        <w:rPr/>
        <w:pict>
          <v:line style="position:absolute;mso-position-horizontal-relative:page;mso-position-vertical-relative:paragraph;z-index:-976;mso-wrap-distance-left:0;mso-wrap-distance-right:0" from="76.550003pt,15.13125pt" to="522.800003pt,15.13125pt" stroked="true" strokeweight="1.5pt" strokecolor="#000000">
            <v:stroke dashstyle="solid"/>
            <w10:wrap type="topAndBottom"/>
          </v:line>
        </w:pict>
      </w:r>
    </w:p>
    <w:p>
      <w:pPr>
        <w:spacing w:line="415" w:lineRule="auto" w:before="141"/>
        <w:ind w:left="1248" w:right="213" w:hanging="828"/>
        <w:jc w:val="left"/>
        <w:rPr>
          <w:sz w:val="28"/>
        </w:rPr>
      </w:pPr>
      <w:r>
        <w:rPr>
          <w:sz w:val="28"/>
        </w:rPr>
        <w:t>抄送：住房城乡建设部办公厅，各市、省直管县人民政府，省审计厅， 省统计局。</w:t>
      </w:r>
    </w:p>
    <w:p>
      <w:pPr>
        <w:tabs>
          <w:tab w:pos="5966" w:val="left" w:leader="none"/>
        </w:tabs>
        <w:spacing w:line="358" w:lineRule="exact" w:before="0"/>
        <w:ind w:left="427" w:right="0" w:firstLine="0"/>
        <w:jc w:val="left"/>
        <w:rPr>
          <w:sz w:val="28"/>
        </w:rPr>
      </w:pPr>
      <w:r>
        <w:rPr/>
        <w:pict>
          <v:line style="position:absolute;mso-position-horizontal-relative:page;mso-position-vertical-relative:paragraph;z-index:-952;mso-wrap-distance-left:0;mso-wrap-distance-right:0" from="76.550003pt,21.163244pt" to="521.600003pt,21.163244pt" stroked="true" strokeweight="1.55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8488" from="76.550003pt,-9.303756pt" to="522.800003pt,-9.303756pt" stroked="true" strokeweight="1pt" strokecolor="#000000">
            <v:stroke dashstyle="solid"/>
            <w10:wrap type="none"/>
          </v:line>
        </w:pict>
      </w:r>
      <w:r>
        <w:rPr>
          <w:spacing w:val="-5"/>
          <w:sz w:val="28"/>
        </w:rPr>
        <w:t>安</w:t>
      </w:r>
      <w:r>
        <w:rPr>
          <w:spacing w:val="-3"/>
          <w:sz w:val="28"/>
        </w:rPr>
        <w:t>徽</w:t>
      </w:r>
      <w:r>
        <w:rPr>
          <w:spacing w:val="-5"/>
          <w:sz w:val="28"/>
        </w:rPr>
        <w:t>省</w:t>
      </w:r>
      <w:r>
        <w:rPr>
          <w:spacing w:val="-3"/>
          <w:sz w:val="28"/>
        </w:rPr>
        <w:t>住</w:t>
      </w:r>
      <w:r>
        <w:rPr>
          <w:spacing w:val="-5"/>
          <w:sz w:val="28"/>
        </w:rPr>
        <w:t>房和</w:t>
      </w:r>
      <w:r>
        <w:rPr>
          <w:spacing w:val="-3"/>
          <w:sz w:val="28"/>
        </w:rPr>
        <w:t>城</w:t>
      </w:r>
      <w:r>
        <w:rPr>
          <w:spacing w:val="-5"/>
          <w:sz w:val="28"/>
        </w:rPr>
        <w:t>乡</w:t>
      </w:r>
      <w:r>
        <w:rPr>
          <w:spacing w:val="-3"/>
          <w:sz w:val="28"/>
        </w:rPr>
        <w:t>建</w:t>
      </w:r>
      <w:r>
        <w:rPr>
          <w:spacing w:val="-5"/>
          <w:sz w:val="28"/>
        </w:rPr>
        <w:t>设厅办</w:t>
      </w:r>
      <w:r>
        <w:rPr>
          <w:spacing w:val="-3"/>
          <w:sz w:val="28"/>
        </w:rPr>
        <w:t>公</w:t>
      </w:r>
      <w:r>
        <w:rPr>
          <w:sz w:val="28"/>
        </w:rPr>
        <w:t>室</w:t>
        <w:tab/>
        <w:t>2018</w:t>
      </w:r>
      <w:r>
        <w:rPr>
          <w:spacing w:val="-75"/>
          <w:sz w:val="28"/>
        </w:rPr>
        <w:t> </w:t>
      </w:r>
      <w:r>
        <w:rPr>
          <w:sz w:val="28"/>
        </w:rPr>
        <w:t>年</w:t>
      </w:r>
      <w:r>
        <w:rPr>
          <w:spacing w:val="-76"/>
          <w:sz w:val="28"/>
        </w:rPr>
        <w:t> </w:t>
      </w:r>
      <w:r>
        <w:rPr>
          <w:sz w:val="28"/>
        </w:rPr>
        <w:t>9</w:t>
      </w:r>
      <w:r>
        <w:rPr>
          <w:spacing w:val="-72"/>
          <w:sz w:val="28"/>
        </w:rPr>
        <w:t> </w:t>
      </w:r>
      <w:r>
        <w:rPr>
          <w:sz w:val="28"/>
        </w:rPr>
        <w:t>月</w:t>
      </w:r>
      <w:r>
        <w:rPr>
          <w:spacing w:val="-76"/>
          <w:sz w:val="28"/>
        </w:rPr>
        <w:t> </w:t>
      </w:r>
      <w:r>
        <w:rPr>
          <w:sz w:val="28"/>
        </w:rPr>
        <w:t>30</w:t>
      </w:r>
      <w:r>
        <w:rPr>
          <w:spacing w:val="-75"/>
          <w:sz w:val="28"/>
        </w:rPr>
        <w:t> </w:t>
      </w:r>
      <w:r>
        <w:rPr>
          <w:spacing w:val="-5"/>
          <w:sz w:val="28"/>
        </w:rPr>
        <w:t>日</w:t>
      </w:r>
      <w:r>
        <w:rPr>
          <w:spacing w:val="-3"/>
          <w:sz w:val="28"/>
        </w:rPr>
        <w:t>印</w:t>
      </w:r>
      <w:r>
        <w:rPr>
          <w:sz w:val="28"/>
        </w:rPr>
        <w:t>发</w:t>
      </w:r>
    </w:p>
    <w:sectPr>
      <w:pgSz w:w="11910" w:h="16840"/>
      <w:pgMar w:header="0" w:footer="1086" w:top="1580" w:bottom="1280" w:left="138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Arial Unicode MS">
    <w:altName w:val="Arial Unicode MS"/>
    <w:charset w:val="86"/>
    <w:family w:val="swiss"/>
    <w:pitch w:val="variable"/>
  </w:font>
  <w:font w:name="黑体">
    <w:altName w:val="黑体"/>
    <w:charset w:val="86"/>
    <w:family w:val="modern"/>
    <w:pitch w:val="fixed"/>
  </w:font>
  <w:font w:name="楷体">
    <w:altName w:val="楷体"/>
    <w:charset w:val="86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85.600006pt;margin-top:776.575806pt;width:37pt;height:16.05pt;mso-position-horizontal-relative:page;mso-position-vertical-relative:page;z-index:-8824" type="#_x0000_t202" filled="false" stroked="false">
          <v:textbox inset="0,0,0,0">
            <w:txbxContent>
              <w:p>
                <w:pPr>
                  <w:spacing w:line="321" w:lineRule="exact" w:before="0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- </w:t>
                </w:r>
                <w:r>
                  <w:rPr/>
                  <w:fldChar w:fldCharType="begin"/>
                </w:r>
                <w:r>
                  <w:rPr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z w:val="28"/>
                  </w:rPr>
                  <w:t> -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5.558998pt;margin-top:776.575806pt;width:37pt;height:16.05pt;mso-position-horizontal-relative:page;mso-position-vertical-relative:page;z-index:-8800" type="#_x0000_t202" filled="false" stroked="false">
          <v:textbox inset="0,0,0,0">
            <w:txbxContent>
              <w:p>
                <w:pPr>
                  <w:spacing w:line="321" w:lineRule="exact" w:before="0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- </w:t>
                </w:r>
                <w:r>
                  <w:rPr/>
                  <w:fldChar w:fldCharType="begin"/>
                </w:r>
                <w:r>
                  <w:rPr>
                    <w:sz w:val="2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sz w:val="28"/>
                  </w:rPr>
                  <w:t> -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32"/>
      <w:szCs w:val="3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line="782" w:lineRule="exact"/>
    </w:pPr>
    <w:rPr>
      <w:rFonts w:ascii="Arial Unicode MS" w:hAnsi="Arial Unicode MS" w:eastAsia="Arial Unicode MS" w:cs="Arial Unicode M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jpeg"/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image" Target="media/image7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Nicky</dc:creator>
  <dcterms:created xsi:type="dcterms:W3CDTF">2018-10-12T07:06:11Z</dcterms:created>
  <dcterms:modified xsi:type="dcterms:W3CDTF">2018-10-12T07:06:11Z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2018-10-10T00:00:00Z</vt:filetime>
  </property>
  <property fmtid="{D5CDD505-2E9C-101B-9397-08002B2CF9AE}" pid="3" name="Creator">
    <vt:lpwstr>WPS 文字</vt:lpwstr>
  </property>
  <property fmtid="{D5CDD505-2E9C-101B-9397-08002B2CF9AE}" pid="4" name="LastSaved">
    <vt:filetime>2018-10-12T00:00:00Z</vt:filetime>
  </property>
</Properties>
</file>